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2B" w:rsidRDefault="0067662B" w:rsidP="00AF4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Европейская неделя иммунизации </w:t>
      </w:r>
      <w:r w:rsidR="00EF7B21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EF7B21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AF4B79" w:rsidRPr="00AF4B79" w:rsidRDefault="00AF4B79" w:rsidP="00AF4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62B" w:rsidRPr="00AF4B79" w:rsidRDefault="00EF7B21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2022 году Европейск</w:t>
      </w:r>
      <w:r w:rsidR="006A4E89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 w:rsidR="006A4E89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иммунизации п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Всемирная организация здравоохранения" w:history="1">
        <w:r w:rsidR="006A4E89"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Всемирной организацией здравоохранения</w:t>
        </w:r>
      </w:hyperlink>
      <w:r w:rsidR="006A4E8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(ВОЗ) 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странах Европ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в России </w:t>
      </w:r>
      <w:r w:rsidR="006A4E89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E89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«Долгая жизнь для всех»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обязательной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вакцинации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самого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эффективного </w:t>
      </w:r>
      <w:r w:rsidR="006A4E89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здоровья людей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86FC5" w:rsidRPr="00AF4B79" w:rsidRDefault="00786FC5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По</w:t>
      </w:r>
      <w:r w:rsidR="00AF4B7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определению 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ВОЗ «Иммунизация-это процесс, благодаря которому человек приобретает </w:t>
      </w:r>
      <w:hyperlink r:id="rId7" w:tooltip="Иммунитет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иммунитет</w:t>
        </w:r>
      </w:hyperlink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, или становится невосприимчивым к </w:t>
      </w:r>
      <w:hyperlink r:id="rId8" w:tooltip="Инфекционные заболевания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инфекционной болезни</w:t>
        </w:r>
      </w:hyperlink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, обычно, путём </w:t>
      </w:r>
      <w:hyperlink r:id="rId9" w:tooltip="Вакцинация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введения вакцины</w:t>
        </w:r>
      </w:hyperlink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». Иммунизация позволяет ежегодно предотвра</w:t>
      </w:r>
      <w:r w:rsidR="006A4E8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ть до 3 миллионов случаев смерти.</w:t>
      </w:r>
      <w:r w:rsidRPr="00AF4B7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Иммунопрофилактика инфекционных болезне</w:t>
      </w:r>
      <w:proofErr w:type="gramStart"/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6A4E8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</w:t>
      </w:r>
      <w:r w:rsidR="006A4E8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н из главных и важных методов </w:t>
      </w:r>
      <w:hyperlink r:id="rId10" w:tooltip="Профилактическая медицина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профилактической медицины</w:t>
        </w:r>
      </w:hyperlink>
      <w:r w:rsidRPr="00AF4B79">
        <w:rPr>
          <w:rFonts w:ascii="Times New Roman" w:hAnsi="Times New Roman" w:cs="Times New Roman"/>
          <w:sz w:val="24"/>
          <w:szCs w:val="24"/>
        </w:rPr>
        <w:t>.</w:t>
      </w:r>
    </w:p>
    <w:p w:rsidR="003D3889" w:rsidRPr="00AF4B79" w:rsidRDefault="003D3889" w:rsidP="00AF4B7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пандемии COVID-19 уровень иммунизации во многих странах снизился, поэтому может возникнуть угроза возникновения вспышек других инфекционных заболеваний, а значит</w:t>
      </w:r>
      <w:r w:rsid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иммунизации населения сейчас актуальна как никогда. </w:t>
      </w:r>
      <w:r w:rsidRPr="00AF4B79">
        <w:rPr>
          <w:rFonts w:ascii="Times New Roman" w:hAnsi="Times New Roman" w:cs="Times New Roman"/>
          <w:sz w:val="24"/>
          <w:szCs w:val="24"/>
        </w:rPr>
        <w:t>Благодаря вакцинации удалось предотвратить распространение многих инфекционных заболеваний, угрожающих жизни.</w:t>
      </w:r>
    </w:p>
    <w:p w:rsidR="00786FC5" w:rsidRPr="00AF4B79" w:rsidRDefault="00786FC5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B79">
        <w:rPr>
          <w:rFonts w:ascii="Times New Roman" w:hAnsi="Times New Roman" w:cs="Times New Roman"/>
          <w:sz w:val="24"/>
          <w:szCs w:val="24"/>
        </w:rPr>
        <w:t>В</w:t>
      </w:r>
      <w:hyperlink r:id="rId11" w:tooltip="Вакцинопрофилактика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акцинопрофилактика</w:t>
        </w:r>
        <w:proofErr w:type="spellEnd"/>
      </w:hyperlink>
      <w:r w:rsidRPr="00AF4B79">
        <w:rPr>
          <w:rFonts w:ascii="Times New Roman" w:hAnsi="Times New Roman" w:cs="Times New Roman"/>
          <w:sz w:val="24"/>
          <w:szCs w:val="24"/>
        </w:rPr>
        <w:t xml:space="preserve"> относится к и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скусственному типу иммунизация</w:t>
      </w:r>
      <w:r w:rsidR="003D3889"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разделяется на типы</w:t>
      </w:r>
      <w:r w:rsidRPr="00AF4B7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86FC5" w:rsidRPr="00AF4B79" w:rsidRDefault="00786FC5" w:rsidP="00AF4B79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B79">
        <w:rPr>
          <w:rFonts w:ascii="Times New Roman" w:hAnsi="Times New Roman" w:cs="Times New Roman"/>
          <w:sz w:val="24"/>
          <w:szCs w:val="24"/>
        </w:rPr>
        <w:t>активная</w:t>
      </w:r>
      <w:proofErr w:type="gramEnd"/>
      <w:r w:rsidRPr="00AF4B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290" w:rsidRPr="00AF4B79">
        <w:rPr>
          <w:rFonts w:ascii="Times New Roman" w:hAnsi="Times New Roman" w:cs="Times New Roman"/>
          <w:sz w:val="24"/>
          <w:szCs w:val="24"/>
        </w:rPr>
        <w:fldChar w:fldCharType="begin"/>
      </w:r>
      <w:r w:rsidRPr="00AF4B79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"https://ru.wikipedia.org/wiki/%D0%92%D0%B0%D0%BA%D1%86%D0%B8%D0%BD%D0%BE%D0%BF%D1%80%D0%BE%D1%84%D0%B8%D0%BB%D0%B0%D0%BA%D1%82%D0%B8%D0%BA%D0%B0" \o "Вакцинопрофилактика" </w:instrText>
      </w:r>
      <w:r w:rsidR="00400290" w:rsidRPr="00AF4B79">
        <w:rPr>
          <w:rFonts w:ascii="Times New Roman" w:hAnsi="Times New Roman" w:cs="Times New Roman"/>
          <w:sz w:val="24"/>
          <w:szCs w:val="24"/>
        </w:rPr>
        <w:fldChar w:fldCharType="separate"/>
      </w:r>
      <w:r w:rsidRPr="00AF4B7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вакцинопрофилактика</w:t>
      </w:r>
      <w:proofErr w:type="spellEnd"/>
      <w:r w:rsidR="00400290" w:rsidRPr="00AF4B79">
        <w:rPr>
          <w:rFonts w:ascii="Times New Roman" w:hAnsi="Times New Roman" w:cs="Times New Roman"/>
          <w:sz w:val="24"/>
          <w:szCs w:val="24"/>
        </w:rPr>
        <w:fldChar w:fldCharType="end"/>
      </w:r>
      <w:r w:rsidRPr="00AF4B79">
        <w:rPr>
          <w:rFonts w:ascii="Times New Roman" w:hAnsi="Times New Roman" w:cs="Times New Roman"/>
          <w:sz w:val="24"/>
          <w:szCs w:val="24"/>
        </w:rPr>
        <w:t>)</w:t>
      </w:r>
      <w:r w:rsidR="006A4E89" w:rsidRPr="00AF4B79">
        <w:rPr>
          <w:rFonts w:ascii="Times New Roman" w:hAnsi="Times New Roman" w:cs="Times New Roman"/>
          <w:sz w:val="24"/>
          <w:szCs w:val="24"/>
        </w:rPr>
        <w:t>-</w:t>
      </w:r>
      <w:r w:rsidRPr="00AF4B79">
        <w:rPr>
          <w:rFonts w:ascii="Times New Roman" w:hAnsi="Times New Roman" w:cs="Times New Roman"/>
          <w:sz w:val="24"/>
          <w:szCs w:val="24"/>
        </w:rPr>
        <w:t> </w:t>
      </w:r>
      <w:r w:rsidRPr="00AF4B79">
        <w:rPr>
          <w:rStyle w:val="ts-comment-commentedtext"/>
          <w:rFonts w:ascii="Times New Roman" w:hAnsi="Times New Roman" w:cs="Times New Roman"/>
          <w:sz w:val="24"/>
          <w:szCs w:val="24"/>
        </w:rPr>
        <w:t>заблаговременное</w:t>
      </w:r>
      <w:r w:rsidRPr="00AF4B79">
        <w:rPr>
          <w:rFonts w:ascii="Times New Roman" w:hAnsi="Times New Roman" w:cs="Times New Roman"/>
          <w:sz w:val="24"/>
          <w:szCs w:val="24"/>
        </w:rPr>
        <w:t> создание стойкого специфического активного иммунитета путём искусственного введения в организм </w:t>
      </w:r>
      <w:hyperlink r:id="rId12" w:tooltip="Антиген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антигена</w:t>
        </w:r>
      </w:hyperlink>
      <w:r w:rsidRPr="00AF4B79">
        <w:rPr>
          <w:rFonts w:ascii="Times New Roman" w:hAnsi="Times New Roman" w:cs="Times New Roman"/>
          <w:sz w:val="24"/>
          <w:szCs w:val="24"/>
        </w:rPr>
        <w:t> с последующ</w:t>
      </w:r>
      <w:r w:rsidR="006A4E89" w:rsidRPr="00AF4B79">
        <w:rPr>
          <w:rFonts w:ascii="Times New Roman" w:hAnsi="Times New Roman" w:cs="Times New Roman"/>
          <w:sz w:val="24"/>
          <w:szCs w:val="24"/>
        </w:rPr>
        <w:t>им</w:t>
      </w:r>
      <w:r w:rsidRPr="00AF4B79">
        <w:rPr>
          <w:rFonts w:ascii="Times New Roman" w:hAnsi="Times New Roman" w:cs="Times New Roman"/>
          <w:sz w:val="24"/>
          <w:szCs w:val="24"/>
        </w:rPr>
        <w:t xml:space="preserve"> </w:t>
      </w:r>
      <w:r w:rsidR="006A4E89" w:rsidRPr="00AF4B79">
        <w:rPr>
          <w:rFonts w:ascii="Times New Roman" w:hAnsi="Times New Roman" w:cs="Times New Roman"/>
          <w:sz w:val="24"/>
          <w:szCs w:val="24"/>
        </w:rPr>
        <w:t>приобретением</w:t>
      </w:r>
      <w:r w:rsidRPr="00AF4B79">
        <w:rPr>
          <w:rFonts w:ascii="Times New Roman" w:hAnsi="Times New Roman" w:cs="Times New Roman"/>
          <w:sz w:val="24"/>
          <w:szCs w:val="24"/>
        </w:rPr>
        <w:t xml:space="preserve"> организмом механизма выработки к нему собственных антител;</w:t>
      </w:r>
    </w:p>
    <w:p w:rsidR="003D3889" w:rsidRPr="00AF4B79" w:rsidRDefault="00786FC5" w:rsidP="00AF4B79">
      <w:pPr>
        <w:pStyle w:val="a7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hAnsi="Times New Roman" w:cs="Times New Roman"/>
          <w:sz w:val="24"/>
          <w:szCs w:val="24"/>
        </w:rPr>
        <w:t>пассивная</w:t>
      </w:r>
      <w:r w:rsidR="006A4E89" w:rsidRPr="00AF4B79">
        <w:rPr>
          <w:rFonts w:ascii="Times New Roman" w:hAnsi="Times New Roman" w:cs="Times New Roman"/>
          <w:sz w:val="24"/>
          <w:szCs w:val="24"/>
        </w:rPr>
        <w:t xml:space="preserve">  </w:t>
      </w:r>
      <w:r w:rsidRPr="00AF4B79">
        <w:rPr>
          <w:rFonts w:ascii="Times New Roman" w:hAnsi="Times New Roman" w:cs="Times New Roman"/>
          <w:sz w:val="24"/>
          <w:szCs w:val="24"/>
        </w:rPr>
        <w:t>(</w:t>
      </w:r>
      <w:hyperlink r:id="rId13" w:tooltip="Серопрофилактика (страница отсутствует)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серопрофилактика</w:t>
        </w:r>
      </w:hyperlink>
      <w:r w:rsidRPr="00AF4B79">
        <w:rPr>
          <w:rFonts w:ascii="Times New Roman" w:hAnsi="Times New Roman" w:cs="Times New Roman"/>
          <w:sz w:val="24"/>
          <w:szCs w:val="24"/>
        </w:rPr>
        <w:t>)</w:t>
      </w:r>
      <w:r w:rsidR="006A4E89" w:rsidRPr="00AF4B79">
        <w:rPr>
          <w:rFonts w:ascii="Times New Roman" w:hAnsi="Times New Roman" w:cs="Times New Roman"/>
          <w:sz w:val="24"/>
          <w:szCs w:val="24"/>
        </w:rPr>
        <w:t>-</w:t>
      </w:r>
      <w:r w:rsidR="003D3889" w:rsidRPr="00AF4B79">
        <w:rPr>
          <w:rFonts w:ascii="Times New Roman" w:hAnsi="Times New Roman" w:cs="Times New Roman"/>
          <w:sz w:val="24"/>
          <w:szCs w:val="24"/>
        </w:rPr>
        <w:t xml:space="preserve"> быстрое</w:t>
      </w:r>
      <w:r w:rsidR="00AF4B79">
        <w:rPr>
          <w:rFonts w:ascii="Times New Roman" w:hAnsi="Times New Roman" w:cs="Times New Roman"/>
          <w:sz w:val="24"/>
          <w:szCs w:val="24"/>
        </w:rPr>
        <w:t xml:space="preserve"> </w:t>
      </w:r>
      <w:r w:rsidR="003D3889" w:rsidRPr="00AF4B79">
        <w:rPr>
          <w:rFonts w:ascii="Times New Roman" w:hAnsi="Times New Roman" w:cs="Times New Roman"/>
          <w:sz w:val="24"/>
          <w:szCs w:val="24"/>
        </w:rPr>
        <w:t xml:space="preserve">создание кратковременного специфического </w:t>
      </w:r>
      <w:r w:rsidR="006A4E89" w:rsidRPr="00AF4B79">
        <w:rPr>
          <w:rFonts w:ascii="Times New Roman" w:hAnsi="Times New Roman" w:cs="Times New Roman"/>
          <w:sz w:val="24"/>
          <w:szCs w:val="24"/>
        </w:rPr>
        <w:t xml:space="preserve"> </w:t>
      </w:r>
      <w:r w:rsidR="003D3889" w:rsidRPr="00AF4B79">
        <w:rPr>
          <w:rFonts w:ascii="Times New Roman" w:hAnsi="Times New Roman" w:cs="Times New Roman"/>
          <w:sz w:val="24"/>
          <w:szCs w:val="24"/>
        </w:rPr>
        <w:t>пассивного иммунитета путём искусственного введения в организм готовых </w:t>
      </w:r>
      <w:hyperlink r:id="rId14" w:tooltip="Антитело" w:history="1">
        <w:r w:rsidR="003D3889"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антител</w:t>
        </w:r>
      </w:hyperlink>
      <w:r w:rsidR="003D3889" w:rsidRPr="00AF4B79">
        <w:rPr>
          <w:rFonts w:ascii="Times New Roman" w:hAnsi="Times New Roman" w:cs="Times New Roman"/>
          <w:sz w:val="24"/>
          <w:szCs w:val="24"/>
        </w:rPr>
        <w:t>;</w:t>
      </w:r>
    </w:p>
    <w:p w:rsidR="00786FC5" w:rsidRPr="00AF4B79" w:rsidRDefault="00786FC5" w:rsidP="00AF4B79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hAnsi="Times New Roman" w:cs="Times New Roman"/>
          <w:sz w:val="24"/>
          <w:szCs w:val="24"/>
        </w:rPr>
        <w:t>комбинированная</w:t>
      </w:r>
      <w:r w:rsidR="003D3889" w:rsidRPr="00AF4B79">
        <w:rPr>
          <w:rFonts w:ascii="Times New Roman" w:hAnsi="Times New Roman" w:cs="Times New Roman"/>
          <w:sz w:val="24"/>
          <w:szCs w:val="24"/>
        </w:rPr>
        <w:t xml:space="preserve">, </w:t>
      </w:r>
      <w:r w:rsidR="006A4E89" w:rsidRPr="00AF4B79">
        <w:rPr>
          <w:rFonts w:ascii="Times New Roman" w:hAnsi="Times New Roman" w:cs="Times New Roman"/>
          <w:sz w:val="24"/>
          <w:szCs w:val="24"/>
        </w:rPr>
        <w:t>на</w:t>
      </w:r>
      <w:r w:rsidRPr="00AF4B79">
        <w:rPr>
          <w:rFonts w:ascii="Times New Roman" w:hAnsi="Times New Roman" w:cs="Times New Roman"/>
          <w:sz w:val="24"/>
          <w:szCs w:val="24"/>
        </w:rPr>
        <w:t xml:space="preserve">пример, при ранениях </w:t>
      </w:r>
      <w:proofErr w:type="gramStart"/>
      <w:r w:rsidRPr="00AF4B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F4B79">
        <w:rPr>
          <w:rFonts w:ascii="Times New Roman" w:hAnsi="Times New Roman" w:cs="Times New Roman"/>
          <w:sz w:val="24"/>
          <w:szCs w:val="24"/>
        </w:rPr>
        <w:t xml:space="preserve"> </w:t>
      </w:r>
      <w:r w:rsidR="00AF4B79">
        <w:rPr>
          <w:rFonts w:ascii="Times New Roman" w:hAnsi="Times New Roman" w:cs="Times New Roman"/>
          <w:sz w:val="24"/>
          <w:szCs w:val="24"/>
        </w:rPr>
        <w:t xml:space="preserve">не </w:t>
      </w:r>
      <w:r w:rsidRPr="00AF4B79">
        <w:rPr>
          <w:rFonts w:ascii="Times New Roman" w:hAnsi="Times New Roman" w:cs="Times New Roman"/>
          <w:sz w:val="24"/>
          <w:szCs w:val="24"/>
        </w:rPr>
        <w:t>вакцинированных против </w:t>
      </w:r>
      <w:hyperlink r:id="rId15" w:tooltip="Столбняк" w:history="1">
        <w:r w:rsidRPr="00AF4B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столбняка</w:t>
        </w:r>
      </w:hyperlink>
      <w:r w:rsidRPr="00AF4B79">
        <w:rPr>
          <w:rFonts w:ascii="Times New Roman" w:hAnsi="Times New Roman" w:cs="Times New Roman"/>
          <w:sz w:val="24"/>
          <w:szCs w:val="24"/>
        </w:rPr>
        <w:t> вводится одновременно противостолбнячная сыворотка и столбнячный анатоксин.</w:t>
      </w:r>
    </w:p>
    <w:p w:rsidR="0067662B" w:rsidRPr="00AF4B79" w:rsidRDefault="0067662B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>Иммунопрофилактика–это комплекс мероприятий, направленных на предупреждение, ограничение распространения и ликвидацию инфекционных болезней путем проведения профилактических прививок.</w:t>
      </w:r>
      <w:r w:rsidR="003D3889" w:rsidRPr="00AF4B79">
        <w:t xml:space="preserve"> </w:t>
      </w:r>
      <w:r w:rsidRPr="00AF4B79">
        <w:t>Для иммунизации используются отечественные и зарубежные иммунобиологические препараты, зарегистрированные в соответствии с законодательством Российской Федерации. Это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болезням.</w:t>
      </w:r>
    </w:p>
    <w:p w:rsidR="0067662B" w:rsidRPr="00AF4B79" w:rsidRDefault="0067662B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Вакцины взаимодействуют с иммунной системой человека, благодаря чему формируется иммунный ответ: организм вырабатывает антитела, защищающие </w:t>
      </w:r>
      <w:r w:rsidR="003D3889" w:rsidRPr="00AF4B79">
        <w:t xml:space="preserve">его </w:t>
      </w:r>
      <w:r w:rsidRPr="00AF4B79">
        <w:t>от инфекции, распознавая и избавляясь от нее.</w:t>
      </w:r>
      <w:r w:rsidR="003D3889" w:rsidRPr="00AF4B79">
        <w:t xml:space="preserve"> Подобный</w:t>
      </w:r>
      <w:r w:rsidRPr="00AF4B79">
        <w:t xml:space="preserve"> ответ </w:t>
      </w:r>
      <w:r w:rsidR="003D3889" w:rsidRPr="00AF4B79">
        <w:t xml:space="preserve">организма </w:t>
      </w:r>
      <w:r w:rsidRPr="00AF4B79">
        <w:t>формируется и после перенесенной инфекции, но заболевание нередко приводит к развитию осложнений, порой несовместимых с жизнью.</w:t>
      </w:r>
    </w:p>
    <w:p w:rsidR="0067662B" w:rsidRPr="00AF4B79" w:rsidRDefault="0067662B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>Иммунитет после вакцинации длится годами. Некоторые вакцины вызывают устойчивость организма к инфекции пожизненно. </w:t>
      </w:r>
    </w:p>
    <w:p w:rsidR="0067662B" w:rsidRPr="00AF4B79" w:rsidRDefault="003D3889" w:rsidP="00AF4B79">
      <w:pPr>
        <w:pStyle w:val="a3"/>
        <w:shd w:val="clear" w:color="auto" w:fill="FFFFFF"/>
        <w:tabs>
          <w:tab w:val="left" w:pos="709"/>
        </w:tabs>
        <w:spacing w:before="120" w:beforeAutospacing="0" w:after="120" w:afterAutospacing="0"/>
        <w:jc w:val="both"/>
      </w:pPr>
      <w:r w:rsidRPr="00AF4B79">
        <w:t xml:space="preserve">          </w:t>
      </w:r>
      <w:r w:rsidR="0067662B" w:rsidRPr="00AF4B79">
        <w:t>Федеральный закон от 17.09.1998 N 157-ФЗ "Об иммунопрофилактике инфекционных болезней</w:t>
      </w:r>
      <w:r w:rsidRPr="00AF4B79">
        <w:t>–</w:t>
      </w:r>
      <w:r w:rsidR="0067662B" w:rsidRPr="00AF4B79">
        <w:t xml:space="preserve"> </w:t>
      </w:r>
      <w:proofErr w:type="gramStart"/>
      <w:r w:rsidRPr="00AF4B79">
        <w:t>эт</w:t>
      </w:r>
      <w:proofErr w:type="gramEnd"/>
      <w:r w:rsidRPr="00AF4B79">
        <w:t xml:space="preserve">от </w:t>
      </w:r>
      <w:r w:rsidR="0067662B" w:rsidRPr="00AF4B79">
        <w:t>основной документ устанавлива</w:t>
      </w:r>
      <w:r w:rsidR="00041F6E" w:rsidRPr="00AF4B79">
        <w:t>ет</w:t>
      </w:r>
      <w:r w:rsidR="0067662B" w:rsidRPr="00AF4B79">
        <w:t xml:space="preserve"> правовые основы государственной политики в области иммунопрофилактики инфекционных болезней. В России вакцинация проводится строго в соответствии с </w:t>
      </w:r>
      <w:hyperlink r:id="rId16" w:history="1">
        <w:r w:rsidR="0067662B" w:rsidRPr="00AF4B79">
          <w:rPr>
            <w:rStyle w:val="a4"/>
            <w:color w:val="auto"/>
            <w:u w:val="none"/>
          </w:rPr>
          <w:t>Национальным календарем профилактических прививок</w:t>
        </w:r>
      </w:hyperlink>
      <w:r w:rsidR="0067662B" w:rsidRPr="00AF4B79">
        <w:t>, утвержденным Приказом министерства здравоохранения РФ от 06 декабря 2021 г. № 1122н. Календарь устанавливает сроки и порядок проведения профилактических прививок.</w:t>
      </w:r>
    </w:p>
    <w:p w:rsidR="0067662B" w:rsidRPr="00AF4B79" w:rsidRDefault="003D3889" w:rsidP="00AF4B79">
      <w:pPr>
        <w:pStyle w:val="a3"/>
        <w:tabs>
          <w:tab w:val="left" w:pos="709"/>
        </w:tabs>
        <w:spacing w:before="0" w:beforeAutospacing="0" w:after="0" w:afterAutospacing="0"/>
        <w:jc w:val="both"/>
      </w:pPr>
      <w:r w:rsidRPr="00AF4B79">
        <w:t xml:space="preserve">         </w:t>
      </w:r>
      <w:r w:rsidR="0067662B" w:rsidRPr="00AF4B79">
        <w:t>На сегодняшний день в календарь включены прививки против гепатита</w:t>
      </w:r>
      <w:proofErr w:type="gramStart"/>
      <w:r w:rsidR="0067662B" w:rsidRPr="00AF4B79">
        <w:t xml:space="preserve"> В</w:t>
      </w:r>
      <w:proofErr w:type="gramEnd"/>
      <w:r w:rsidR="0067662B" w:rsidRPr="00AF4B79">
        <w:t xml:space="preserve">, дифтерии, коклюша, кори, краснухи, полиомиелита, столбняка, туберкулеза, эпидемического паротита, </w:t>
      </w:r>
      <w:proofErr w:type="spellStart"/>
      <w:r w:rsidR="0067662B" w:rsidRPr="00AF4B79">
        <w:t>гемофильной</w:t>
      </w:r>
      <w:proofErr w:type="spellEnd"/>
      <w:r w:rsidR="0067662B" w:rsidRPr="00AF4B79">
        <w:t xml:space="preserve"> инфекции, пневмококковой инфекции и гриппа.</w:t>
      </w:r>
      <w:r w:rsidRPr="00AF4B79">
        <w:t xml:space="preserve"> </w:t>
      </w:r>
      <w:r w:rsidR="0067662B" w:rsidRPr="00AF4B79">
        <w:t>Именно эти заболевания несут угрозу жизни и здоровью населения и имеют высокий риск распространения среди людей, вплоть до развития эпидемий. </w:t>
      </w:r>
    </w:p>
    <w:p w:rsidR="0067662B" w:rsidRPr="00AF4B79" w:rsidRDefault="003D3889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          </w:t>
      </w:r>
      <w:r w:rsidR="0067662B" w:rsidRPr="00AF4B79">
        <w:t>Помимо основных инфекций, включены в календарь, и другие, например, сибирская язва, туляремия, ветряная оспа. Эти инфекции входят во вторую часть Национального календаря профилактических прививо</w:t>
      </w:r>
      <w:proofErr w:type="gramStart"/>
      <w:r w:rsidR="0067662B" w:rsidRPr="00AF4B79">
        <w:t>к-</w:t>
      </w:r>
      <w:proofErr w:type="gramEnd"/>
      <w:r w:rsidR="0067662B" w:rsidRPr="00AF4B79">
        <w:t> </w:t>
      </w:r>
      <w:hyperlink r:id="rId17" w:history="1">
        <w:r w:rsidR="0067662B" w:rsidRPr="00AF4B79">
          <w:rPr>
            <w:rStyle w:val="a4"/>
            <w:color w:val="auto"/>
            <w:u w:val="none"/>
          </w:rPr>
          <w:t>календарь по эпидемическим показаниям.</w:t>
        </w:r>
      </w:hyperlink>
      <w:r w:rsidR="0067662B" w:rsidRPr="00AF4B79">
        <w:t> Профилактические прививки по эпидемическим показаниям проводятся гражданам при угрозе возникновения</w:t>
      </w:r>
      <w:r w:rsidR="00AF4B79">
        <w:t xml:space="preserve"> </w:t>
      </w:r>
      <w:r w:rsidR="0067662B" w:rsidRPr="00AF4B79">
        <w:t xml:space="preserve">инфекционных заболеваний, а также лицам, выезжающим в </w:t>
      </w:r>
      <w:proofErr w:type="spellStart"/>
      <w:r w:rsidR="0067662B" w:rsidRPr="00AF4B79">
        <w:t>эндемичные</w:t>
      </w:r>
      <w:proofErr w:type="spellEnd"/>
      <w:r w:rsidR="0067662B" w:rsidRPr="00AF4B79">
        <w:t xml:space="preserve"> регионы или </w:t>
      </w:r>
      <w:r w:rsidR="0067662B" w:rsidRPr="00AF4B79">
        <w:lastRenderedPageBreak/>
        <w:t>проживающим в них постоянно. Календарь по эпидемическим показаниям включает вакцинацию против 24 инфекций.</w:t>
      </w:r>
    </w:p>
    <w:p w:rsidR="0067662B" w:rsidRPr="00AF4B79" w:rsidRDefault="00041F6E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           </w:t>
      </w:r>
      <w:r w:rsidR="0067662B" w:rsidRPr="00AF4B79">
        <w:t xml:space="preserve">Процедура вакцинации начинается с осмотра </w:t>
      </w:r>
      <w:r w:rsidR="003D3889" w:rsidRPr="00AF4B79">
        <w:t xml:space="preserve">пациента </w:t>
      </w:r>
      <w:r w:rsidR="0067662B" w:rsidRPr="00AF4B79">
        <w:t>врач</w:t>
      </w:r>
      <w:r w:rsidR="003D3889" w:rsidRPr="00AF4B79">
        <w:t>ом</w:t>
      </w:r>
      <w:r w:rsidR="0067662B" w:rsidRPr="00AF4B79">
        <w:t xml:space="preserve">, который принимает решение о возможности вакцинации, дает пациенту информацию о необходимости прививок, последствиях отказа от них и возможных </w:t>
      </w:r>
      <w:proofErr w:type="spellStart"/>
      <w:r w:rsidR="0067662B" w:rsidRPr="00AF4B79">
        <w:t>поствакцинальных</w:t>
      </w:r>
      <w:proofErr w:type="spellEnd"/>
      <w:r w:rsidR="0067662B" w:rsidRPr="00AF4B79">
        <w:t xml:space="preserve"> осложнениях.</w:t>
      </w:r>
    </w:p>
    <w:p w:rsidR="0067662B" w:rsidRDefault="00180AE4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           </w:t>
      </w:r>
      <w:r w:rsidR="0067662B" w:rsidRPr="00AF4B79">
        <w:t xml:space="preserve">Отказ от вакцинации повышает риск инфицирования не только самих </w:t>
      </w:r>
      <w:proofErr w:type="spellStart"/>
      <w:r w:rsidR="0067662B" w:rsidRPr="00AF4B79">
        <w:t>непривитых</w:t>
      </w:r>
      <w:proofErr w:type="spellEnd"/>
      <w:r w:rsidR="0067662B" w:rsidRPr="00AF4B79">
        <w:t>, но и тех, кто по медицинским показаниям не подлежит вакцинации, включая младенцев, не достигших возраста, рекомендованного для введения той или иной вакцины.</w:t>
      </w:r>
      <w:r w:rsidRPr="00AF4B79">
        <w:t xml:space="preserve"> </w:t>
      </w:r>
      <w:r w:rsidR="0067662B" w:rsidRPr="00AF4B79">
        <w:t>По данным Всемирной организации здравоохранения, во всем мире ежегодно умирает более 12 миллионов детей, 2/3 этих смертей вызваны болезнями, которые могли бы быть предотвращены при помощи вакцин.</w:t>
      </w:r>
    </w:p>
    <w:p w:rsidR="00B028EC" w:rsidRPr="00AF4B79" w:rsidRDefault="00B028EC" w:rsidP="00AF4B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041F6E" w:rsidRPr="00AF4B79" w:rsidRDefault="0067662B" w:rsidP="00AF4B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изменилось</w:t>
      </w:r>
      <w:r w:rsidR="00180AE4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Национальном календаре профилактических прививок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="00041F6E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662B" w:rsidRPr="00AF4B79" w:rsidRDefault="0067662B" w:rsidP="00AF4B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от </w:t>
      </w:r>
      <w:proofErr w:type="spell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гемофильной</w:t>
      </w:r>
      <w:proofErr w:type="spell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теперь проводится всем детям, </w:t>
      </w:r>
      <w:r w:rsidR="00180AE4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80AE4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AE4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из групп риска.</w:t>
      </w:r>
    </w:p>
    <w:p w:rsidR="0067662B" w:rsidRPr="00AF4B79" w:rsidRDefault="0067662B" w:rsidP="00AF4B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ревакцинация от полиомиелита теперь будет проводиться в 6 лет, а не в 14, как было ран</w:t>
      </w:r>
      <w:r w:rsidR="00041F6E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е. </w:t>
      </w:r>
    </w:p>
    <w:p w:rsidR="0067662B" w:rsidRPr="00AF4B79" w:rsidRDefault="0067662B" w:rsidP="00AF4B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вакцинации и первая ревакцинация от полиомиелита будут проводиться инактивированной вакциной, а последующие ревакцинации - живой. </w:t>
      </w:r>
    </w:p>
    <w:p w:rsidR="0067662B" w:rsidRPr="00AF4B79" w:rsidRDefault="0067662B" w:rsidP="00AF4B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календарь профилактических прививок по эпидемическим показаниям внесена вакцинация от </w:t>
      </w:r>
      <w:proofErr w:type="spellStart"/>
      <w:r w:rsidRPr="00AF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AF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подростков с 12 до 17 лет. Она будет проводиться добровольно по письменному заявлению одного из родителей.</w:t>
      </w:r>
    </w:p>
    <w:p w:rsidR="0067662B" w:rsidRPr="00AF4B79" w:rsidRDefault="0067662B" w:rsidP="00AF4B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Допускается введение любых вакцин (за исключением вакцин для профилактики туберкулеза), применяемых в рамках национального календаря профилактических прививок и по эпидемическим показаниям, в один день разными шприцами в разные участки тела.</w:t>
      </w:r>
    </w:p>
    <w:p w:rsidR="0067662B" w:rsidRPr="00AF4B79" w:rsidRDefault="0067662B" w:rsidP="007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Российские педиатры подчеркивали необходимость вакцинировать от </w:t>
      </w:r>
      <w:proofErr w:type="spell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гемофильной</w:t>
      </w:r>
      <w:proofErr w:type="spell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всех детей младшего возраста, а не только детей из групп риска</w:t>
      </w:r>
      <w:r w:rsidR="00180AE4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малышей первых лет жизни уровень заболеваемости самый высокий.</w:t>
      </w:r>
    </w:p>
    <w:p w:rsidR="0067662B" w:rsidRDefault="0067662B" w:rsidP="007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большинство развитых стран мира не используют оральную полиомиелитную вакцину, иммунизация проводится только инактивированной вакциной. В дальнейшем ВОЗ предлагает перейти на инактивированную вакцину всем странам. </w:t>
      </w:r>
    </w:p>
    <w:p w:rsidR="0072796E" w:rsidRPr="00AF4B79" w:rsidRDefault="0072796E" w:rsidP="0072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027" w:rsidRPr="00AF4B79" w:rsidRDefault="006D509A" w:rsidP="00AF4B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F4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67662B" w:rsidRPr="00AF4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Прививки для старш</w:t>
      </w:r>
      <w:r w:rsidR="00041F6E" w:rsidRPr="00AF4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его поколения</w:t>
      </w:r>
    </w:p>
    <w:p w:rsidR="0067662B" w:rsidRPr="00AF4B79" w:rsidRDefault="00180AE4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 xml:space="preserve">          </w:t>
      </w:r>
      <w:r w:rsidR="0067662B" w:rsidRPr="00AF4B79">
        <w:t xml:space="preserve">Взрослые </w:t>
      </w:r>
      <w:r w:rsidRPr="00AF4B79">
        <w:t xml:space="preserve">люди </w:t>
      </w:r>
      <w:r w:rsidR="0067662B" w:rsidRPr="00AF4B79">
        <w:t>нуждаются в прививках, особенно если им больше 60 лет</w:t>
      </w:r>
      <w:r w:rsidRPr="00AF4B79">
        <w:t xml:space="preserve">, </w:t>
      </w:r>
      <w:r w:rsidR="0067662B" w:rsidRPr="00AF4B79">
        <w:t xml:space="preserve"> с годами иммунн</w:t>
      </w:r>
      <w:r w:rsidRPr="00AF4B79">
        <w:t>ая</w:t>
      </w:r>
      <w:r w:rsidR="0067662B" w:rsidRPr="00AF4B79">
        <w:t xml:space="preserve"> </w:t>
      </w:r>
      <w:r w:rsidRPr="00AF4B79">
        <w:t>защита</w:t>
      </w:r>
      <w:r w:rsidR="0067662B" w:rsidRPr="00AF4B79">
        <w:t xml:space="preserve"> организма снижа</w:t>
      </w:r>
      <w:r w:rsidRPr="00AF4B79">
        <w:t>е</w:t>
      </w:r>
      <w:r w:rsidR="0067662B" w:rsidRPr="00AF4B79">
        <w:t>тся, увеличивается</w:t>
      </w:r>
      <w:r w:rsidRPr="00AF4B79">
        <w:t xml:space="preserve"> количество хронических болезней</w:t>
      </w:r>
      <w:r w:rsidR="0067662B" w:rsidRPr="00AF4B79">
        <w:t>.</w:t>
      </w:r>
      <w:r w:rsidRPr="00AF4B79">
        <w:t xml:space="preserve"> </w:t>
      </w:r>
      <w:r w:rsidR="0067662B" w:rsidRPr="00AF4B79">
        <w:t>Многие инфекции протекают тяжело, а хронические заболевания усугубляют их течение, поэтому пожилые люди часто входят в группы риска инфекционных заболеваний, которым вакцинация нужна в первую очередь. </w:t>
      </w:r>
    </w:p>
    <w:p w:rsidR="0067662B" w:rsidRPr="00AF4B79" w:rsidRDefault="00041F6E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        </w:t>
      </w:r>
      <w:r w:rsidR="0067662B" w:rsidRPr="00AF4B79">
        <w:t>Доказано, что вакцинация против гриппа у пожилых людей и людей с хроническими заболеваниями снижает риск госпитализаций, смертность и частоту поступлений в отделения реанимации. Согласно </w:t>
      </w:r>
      <w:hyperlink r:id="rId18" w:history="1">
        <w:r w:rsidR="0067662B" w:rsidRPr="00AF4B79">
          <w:rPr>
            <w:rStyle w:val="a4"/>
            <w:color w:val="auto"/>
            <w:u w:val="none"/>
          </w:rPr>
          <w:t>Национальному календарю профилактических прививок</w:t>
        </w:r>
      </w:hyperlink>
      <w:r w:rsidR="0067662B" w:rsidRPr="00AF4B79">
        <w:t>, взрослым старше 60 лет рекомендована ежегодная вакцинация от гриппа.</w:t>
      </w:r>
      <w:r w:rsidRPr="00AF4B79">
        <w:t xml:space="preserve"> </w:t>
      </w:r>
      <w:r w:rsidR="0067662B" w:rsidRPr="00AF4B79">
        <w:t xml:space="preserve">Прививку целесообразно делать до начала сезона гриппа - в сентябре, октябре и ноябре. Грипп у пожилых людей сам по себе чреват тяжелым течением и развитием осложнений, а последние два года этот риск увеличился из-за вероятности совместного течения гриппа и </w:t>
      </w:r>
      <w:proofErr w:type="spellStart"/>
      <w:r w:rsidR="0067662B" w:rsidRPr="00AF4B79">
        <w:t>коронавирусной</w:t>
      </w:r>
      <w:proofErr w:type="spellEnd"/>
      <w:r w:rsidR="0067662B" w:rsidRPr="00AF4B79">
        <w:t xml:space="preserve"> инфекции. В отличие от гриппа, </w:t>
      </w:r>
      <w:proofErr w:type="spellStart"/>
      <w:r w:rsidR="0067662B" w:rsidRPr="00AF4B79">
        <w:t>коронавирусная</w:t>
      </w:r>
      <w:proofErr w:type="spellEnd"/>
      <w:r w:rsidR="0067662B" w:rsidRPr="00AF4B79">
        <w:t xml:space="preserve"> инфекция пока не имеет четко выраженной сезонности, поэтому делать прививку можно не только осенью, но и в любое время года. По данным Росстата, 83% умерших от COVID-19 – это пациенты в возрасте старше 60 лет.</w:t>
      </w:r>
    </w:p>
    <w:p w:rsidR="0067662B" w:rsidRPr="00AF4B79" w:rsidRDefault="00122B89" w:rsidP="0072796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</w:rPr>
      </w:pPr>
      <w:r w:rsidRPr="00AF4B79">
        <w:t xml:space="preserve">           </w:t>
      </w:r>
      <w:r w:rsidR="0067662B" w:rsidRPr="00AF4B79">
        <w:t>В соответствии с </w:t>
      </w:r>
      <w:hyperlink r:id="rId19" w:history="1">
        <w:r w:rsidR="0067662B" w:rsidRPr="00AF4B79">
          <w:rPr>
            <w:rStyle w:val="a4"/>
            <w:color w:val="auto"/>
            <w:u w:val="none"/>
          </w:rPr>
          <w:t>Временными методическими рекомендациями: «Порядок проведения вакцинации взрослого населения против COVID-19» Минздрава РФ</w:t>
        </w:r>
      </w:hyperlink>
      <w:r w:rsidR="0067662B" w:rsidRPr="00AF4B79">
        <w:t xml:space="preserve">, в связи с неблагоприятной эпидемической ситуацией по </w:t>
      </w:r>
      <w:proofErr w:type="spellStart"/>
      <w:r w:rsidR="0067662B" w:rsidRPr="00AF4B79">
        <w:t>коронавирусной</w:t>
      </w:r>
      <w:proofErr w:type="spellEnd"/>
      <w:r w:rsidR="0067662B" w:rsidRPr="00AF4B79">
        <w:t xml:space="preserve"> инфекции в нашей стране, </w:t>
      </w:r>
      <w:r w:rsidR="0067662B" w:rsidRPr="00AF4B79">
        <w:rPr>
          <w:b/>
        </w:rPr>
        <w:t xml:space="preserve">лицам старше 60 лет рекомендована вакцинация от COVID-19 </w:t>
      </w:r>
      <w:proofErr w:type="spellStart"/>
      <w:r w:rsidR="0067662B" w:rsidRPr="00AF4B79">
        <w:rPr>
          <w:b/>
        </w:rPr>
        <w:t>c</w:t>
      </w:r>
      <w:proofErr w:type="spellEnd"/>
      <w:r w:rsidR="0067662B" w:rsidRPr="00AF4B79">
        <w:rPr>
          <w:b/>
        </w:rPr>
        <w:t xml:space="preserve"> последующей ревакцинацией каждые 6 месяцев. </w:t>
      </w:r>
    </w:p>
    <w:p w:rsidR="0067662B" w:rsidRPr="00AF4B79" w:rsidRDefault="0067662B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lastRenderedPageBreak/>
        <w:t>По </w:t>
      </w:r>
      <w:hyperlink r:id="rId20" w:anchor="affiliation-3" w:history="1">
        <w:r w:rsidRPr="00AF4B79">
          <w:rPr>
            <w:rStyle w:val="a4"/>
            <w:color w:val="auto"/>
            <w:u w:val="none"/>
          </w:rPr>
          <w:t>различным данным</w:t>
        </w:r>
      </w:hyperlink>
      <w:r w:rsidRPr="00AF4B79">
        <w:t xml:space="preserve">, почти у 50% погибших от </w:t>
      </w:r>
      <w:proofErr w:type="spellStart"/>
      <w:r w:rsidRPr="00AF4B79">
        <w:t>коронавируса</w:t>
      </w:r>
      <w:proofErr w:type="spellEnd"/>
      <w:r w:rsidRPr="00AF4B79">
        <w:t xml:space="preserve"> пациентов, вирусное заболевание сопровождалось бактериальными инфекциями нижних дыхательных путей, чаще всего </w:t>
      </w:r>
      <w:proofErr w:type="spellStart"/>
      <w:r w:rsidRPr="00AF4B79">
        <w:rPr>
          <w:rStyle w:val="a6"/>
        </w:rPr>
        <w:t>Streptococcus</w:t>
      </w:r>
      <w:proofErr w:type="spellEnd"/>
      <w:r w:rsidRPr="00AF4B79">
        <w:rPr>
          <w:rStyle w:val="a6"/>
        </w:rPr>
        <w:t xml:space="preserve"> </w:t>
      </w:r>
      <w:proofErr w:type="spellStart"/>
      <w:r w:rsidRPr="00AF4B79">
        <w:rPr>
          <w:rStyle w:val="a6"/>
        </w:rPr>
        <w:t>pneumoniae</w:t>
      </w:r>
      <w:proofErr w:type="spellEnd"/>
      <w:r w:rsidRPr="00AF4B79">
        <w:t xml:space="preserve"> (пневмококком). Пневмококковая пневмония нередко </w:t>
      </w:r>
      <w:proofErr w:type="gramStart"/>
      <w:r w:rsidRPr="00AF4B79">
        <w:t>может</w:t>
      </w:r>
      <w:proofErr w:type="gramEnd"/>
      <w:r w:rsidRPr="00AF4B79">
        <w:t xml:space="preserve"> перетека</w:t>
      </w:r>
      <w:r w:rsidR="00180AE4" w:rsidRPr="00AF4B79">
        <w:t>ла</w:t>
      </w:r>
      <w:r w:rsidRPr="00AF4B79">
        <w:t xml:space="preserve"> в пневмококковый сепсис. При этом летальность среди людей старше 60 лет очень высокая.</w:t>
      </w:r>
    </w:p>
    <w:p w:rsidR="0067662B" w:rsidRDefault="00180AE4" w:rsidP="00AF4B79">
      <w:pPr>
        <w:pStyle w:val="a3"/>
        <w:spacing w:before="0" w:beforeAutospacing="0" w:after="0" w:afterAutospacing="0"/>
        <w:jc w:val="both"/>
      </w:pPr>
      <w:r w:rsidRPr="00AF4B79">
        <w:t xml:space="preserve">          </w:t>
      </w:r>
      <w:r w:rsidR="0067662B" w:rsidRPr="00AF4B79">
        <w:t>Согласно </w:t>
      </w:r>
      <w:hyperlink r:id="rId21" w:history="1">
        <w:r w:rsidR="0067662B" w:rsidRPr="00AF4B79">
          <w:rPr>
            <w:rStyle w:val="a4"/>
            <w:color w:val="auto"/>
            <w:u w:val="none"/>
          </w:rPr>
          <w:t>Национальному календарю профилактических прививок по эпидемическим показаниям</w:t>
        </w:r>
      </w:hyperlink>
      <w:r w:rsidR="0067662B" w:rsidRPr="00AF4B79">
        <w:t>, пожилые люди входят в группу риска тяжелого течения пневмококковой инфекции и нуждаются в вакцинации.</w:t>
      </w:r>
      <w:r w:rsidR="00610550" w:rsidRPr="00AF4B79">
        <w:t xml:space="preserve">  </w:t>
      </w:r>
    </w:p>
    <w:p w:rsidR="0072796E" w:rsidRPr="00AF4B79" w:rsidRDefault="0072796E" w:rsidP="00AF4B79">
      <w:pPr>
        <w:pStyle w:val="a3"/>
        <w:spacing w:before="0" w:beforeAutospacing="0" w:after="0" w:afterAutospacing="0"/>
        <w:jc w:val="both"/>
      </w:pPr>
    </w:p>
    <w:p w:rsidR="006544E3" w:rsidRPr="00AF4B79" w:rsidRDefault="00610550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rPr>
          <w:b/>
        </w:rPr>
        <w:t xml:space="preserve">         </w:t>
      </w:r>
      <w:r w:rsidR="006D509A" w:rsidRPr="00AF4B79">
        <w:rPr>
          <w:b/>
        </w:rPr>
        <w:t>2.</w:t>
      </w:r>
      <w:r w:rsidRPr="00AF4B79">
        <w:rPr>
          <w:b/>
        </w:rPr>
        <w:t xml:space="preserve"> </w:t>
      </w:r>
      <w:r w:rsidR="006544E3" w:rsidRPr="00AF4B79">
        <w:rPr>
          <w:b/>
        </w:rPr>
        <w:t xml:space="preserve">Дифтерия. </w:t>
      </w:r>
      <w:r w:rsidR="006544E3" w:rsidRPr="00AF4B79">
        <w:t xml:space="preserve">По данным ВОЗ из года в год число </w:t>
      </w:r>
      <w:proofErr w:type="spellStart"/>
      <w:r w:rsidR="006544E3" w:rsidRPr="00AF4B79">
        <w:t>непривитых</w:t>
      </w:r>
      <w:proofErr w:type="spellEnd"/>
      <w:r w:rsidR="006544E3" w:rsidRPr="00AF4B79">
        <w:t xml:space="preserve"> людей растет, и дифтерия превращается в часовую бомбу. Когда сработает механизм, никто не знает.</w:t>
      </w:r>
    </w:p>
    <w:p w:rsidR="006544E3" w:rsidRPr="00AF4B79" w:rsidRDefault="006544E3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Самый эффективный метод профилактики </w:t>
      </w:r>
      <w:proofErr w:type="spellStart"/>
      <w:proofErr w:type="gram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дифтерии-это</w:t>
      </w:r>
      <w:proofErr w:type="spellEnd"/>
      <w:proofErr w:type="gram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вакцинация. В настоящее время существует несколько вакцин – АКДС, АДС-М, АДС, АД-М, все они содержат адсорбированный дифтерийный </w:t>
      </w:r>
      <w:proofErr w:type="spellStart"/>
      <w:proofErr w:type="gram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анатоксин-инактивированный</w:t>
      </w:r>
      <w:proofErr w:type="spellEnd"/>
      <w:proofErr w:type="gram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токсин, к которому вырабатывается иммунитет. </w:t>
      </w:r>
    </w:p>
    <w:p w:rsidR="006544E3" w:rsidRPr="00AF4B79" w:rsidRDefault="006544E3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 прививают по схеме: в 3-4,5-6 месяцев, первая ревакцинация проводится в 18 месяцев, вторая – в 6-7 лет, третья – в 14 лет. </w:t>
      </w:r>
    </w:p>
    <w:p w:rsidR="006544E3" w:rsidRPr="00AF4B79" w:rsidRDefault="006544E3" w:rsidP="00AF4B7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AF4B79">
        <w:t xml:space="preserve">Так как </w:t>
      </w:r>
      <w:proofErr w:type="gramStart"/>
      <w:r w:rsidRPr="00AF4B79">
        <w:t>иммунитет, приобретенный после вакцинации сохраняется</w:t>
      </w:r>
      <w:proofErr w:type="gramEnd"/>
      <w:r w:rsidRPr="00AF4B79">
        <w:t xml:space="preserve"> около 10 лет, поэтому далее взрослым рекомендовано проводить ревакцинацию против дифтерии каждые 10 лет.</w:t>
      </w:r>
      <w:r w:rsidRPr="00AF4B79">
        <w:rPr>
          <w:b/>
        </w:rPr>
        <w:t xml:space="preserve"> Плановая ревакцинации от столбняка и дифтерии согласно </w:t>
      </w:r>
      <w:hyperlink r:id="rId22" w:history="1">
        <w:r w:rsidRPr="00AF4B79">
          <w:rPr>
            <w:rStyle w:val="a4"/>
            <w:b/>
            <w:color w:val="auto"/>
            <w:u w:val="none"/>
          </w:rPr>
          <w:t>Национальному календарю проф</w:t>
        </w:r>
        <w:proofErr w:type="gramStart"/>
        <w:r w:rsidRPr="00AF4B79">
          <w:rPr>
            <w:rStyle w:val="a4"/>
            <w:b/>
            <w:color w:val="auto"/>
            <w:u w:val="none"/>
          </w:rPr>
          <w:t>.п</w:t>
        </w:r>
        <w:proofErr w:type="gramEnd"/>
        <w:r w:rsidRPr="00AF4B79">
          <w:rPr>
            <w:rStyle w:val="a4"/>
            <w:b/>
            <w:color w:val="auto"/>
            <w:u w:val="none"/>
          </w:rPr>
          <w:t>рививок</w:t>
        </w:r>
      </w:hyperlink>
      <w:r w:rsidRPr="00AF4B79">
        <w:rPr>
          <w:b/>
        </w:rPr>
        <w:t xml:space="preserve"> рекомендована всем взрослым, в том числе старше 60 лет, каждые 10 лет.</w:t>
      </w:r>
    </w:p>
    <w:p w:rsidR="0067662B" w:rsidRPr="00AF4B79" w:rsidRDefault="006D509A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 xml:space="preserve">          </w:t>
      </w:r>
      <w:r w:rsidRPr="00AF4B79">
        <w:rPr>
          <w:b/>
        </w:rPr>
        <w:t>3.</w:t>
      </w:r>
      <w:r w:rsidRPr="00AF4B79">
        <w:t xml:space="preserve"> </w:t>
      </w:r>
      <w:r w:rsidR="0067662B" w:rsidRPr="00AF4B79">
        <w:rPr>
          <w:b/>
        </w:rPr>
        <w:t>В</w:t>
      </w:r>
      <w:r w:rsidRPr="00AF4B79">
        <w:rPr>
          <w:b/>
        </w:rPr>
        <w:t xml:space="preserve">ОЗ </w:t>
      </w:r>
      <w:r w:rsidR="0067662B" w:rsidRPr="00AF4B79">
        <w:rPr>
          <w:b/>
        </w:rPr>
        <w:t>предупреждает: пандемия COVID-19 создает дополнительный риск возникновения вспышек кори.</w:t>
      </w:r>
      <w:r w:rsidR="0067662B" w:rsidRPr="00AF4B79">
        <w:t xml:space="preserve"> </w:t>
      </w:r>
      <w:hyperlink r:id="rId23" w:history="1">
        <w:r w:rsidRPr="00AF4B79">
          <w:rPr>
            <w:rStyle w:val="a4"/>
            <w:color w:val="auto"/>
            <w:u w:val="none"/>
          </w:rPr>
          <w:t>По</w:t>
        </w:r>
        <w:r w:rsidR="0067662B" w:rsidRPr="00AF4B79">
          <w:rPr>
            <w:rStyle w:val="a4"/>
            <w:color w:val="auto"/>
            <w:u w:val="none"/>
          </w:rPr>
          <w:t xml:space="preserve"> информации ВОЗ</w:t>
        </w:r>
      </w:hyperlink>
      <w:r w:rsidR="0067662B" w:rsidRPr="00AF4B79">
        <w:t>, из-за пандемии в 2020 году более 22 миллионов младенцев пропустили первую дозу вакцины против кори. Это на 3 миллиона больше, чем в 2019 году. Отказ от прививок против кори создает опасные условия для возникновения вспышек болезни.</w:t>
      </w:r>
    </w:p>
    <w:p w:rsidR="0067662B" w:rsidRPr="00AF4B79" w:rsidRDefault="0067662B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>По сравнению с предыдущим годом, количество зарегистрированных в мире в 2020 году случаев кори снизилось на 80%. </w:t>
      </w:r>
      <w:hyperlink r:id="rId24" w:history="1">
        <w:r w:rsidRPr="00AF4B79">
          <w:rPr>
            <w:rStyle w:val="a4"/>
            <w:color w:val="auto"/>
            <w:u w:val="none"/>
          </w:rPr>
          <w:t xml:space="preserve">По оценке </w:t>
        </w:r>
        <w:proofErr w:type="spellStart"/>
        <w:r w:rsidRPr="00AF4B79">
          <w:rPr>
            <w:rStyle w:val="a4"/>
            <w:color w:val="auto"/>
            <w:u w:val="none"/>
          </w:rPr>
          <w:t>Роспотребнадзора</w:t>
        </w:r>
        <w:proofErr w:type="spellEnd"/>
      </w:hyperlink>
      <w:r w:rsidRPr="00AF4B79">
        <w:t>, снижение заболеваемости корью обусловлено ограничительными мероприятиями, связанными с неблагополучной эпидемиологической ситуацией по COVID-19. И продолжает настаивать на необходимости вакцинации от кори, как на самой эффективной мере профилактики этого заболевания.</w:t>
      </w:r>
    </w:p>
    <w:p w:rsidR="0067662B" w:rsidRPr="00AF4B79" w:rsidRDefault="0067662B" w:rsidP="00AF4B79">
      <w:pPr>
        <w:pStyle w:val="a3"/>
        <w:shd w:val="clear" w:color="auto" w:fill="FFFFFF"/>
        <w:spacing w:before="120" w:beforeAutospacing="0" w:after="120" w:afterAutospacing="0"/>
        <w:jc w:val="both"/>
      </w:pPr>
      <w:r w:rsidRPr="00AF4B79">
        <w:t xml:space="preserve">Корь - одна из самых заразных болезней человека, но ее почти полностью можно предотвратить с помощью вакцинации. </w:t>
      </w:r>
      <w:proofErr w:type="gramStart"/>
      <w:r w:rsidRPr="00AF4B79">
        <w:t>По оценкам ВОЗ, за последние 20 лет вакцина против кори спасла от смерти более 30 миллионов человек.</w:t>
      </w:r>
      <w:proofErr w:type="gramEnd"/>
    </w:p>
    <w:p w:rsidR="0067662B" w:rsidRPr="00AF4B79" w:rsidRDefault="006D509A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4. </w:t>
      </w:r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Регулярное обследование на туберкулё</w:t>
      </w:r>
      <w:proofErr w:type="gramStart"/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 ранне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выявлени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своевременно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начала </w:t>
      </w:r>
      <w:r w:rsidR="0067662B" w:rsidRPr="00AF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лечение заболевания</w:t>
      </w:r>
      <w:r w:rsidR="0067662B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662B" w:rsidRPr="00AF4B79" w:rsidRDefault="0067662B" w:rsidP="00AF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 w:rsidR="006D509A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новорожденным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получившим </w:t>
      </w:r>
      <w:r w:rsidR="006D509A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прививку БЦЖ</w:t>
      </w:r>
      <w:r w:rsidR="006D509A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роддоме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509A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ежегодно с 12-месячного возраста</w:t>
      </w:r>
      <w:r w:rsidR="006D509A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проба Манту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Дважды в год проба проводится:</w:t>
      </w:r>
    </w:p>
    <w:p w:rsidR="0067662B" w:rsidRPr="00AF4B79" w:rsidRDefault="0067662B" w:rsidP="00AF4B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не вакцинированным (до получения ребенком прививки против туберкулеза);</w:t>
      </w:r>
    </w:p>
    <w:p w:rsidR="0067662B" w:rsidRPr="00AF4B79" w:rsidRDefault="0067662B" w:rsidP="00AF4B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67662B" w:rsidRPr="00AF4B79" w:rsidRDefault="0067662B" w:rsidP="00AF4B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получающим кортикостероидную, лучевую и цитостатическую терапию;</w:t>
      </w:r>
    </w:p>
    <w:p w:rsidR="0067662B" w:rsidRPr="00AF4B79" w:rsidRDefault="0067662B" w:rsidP="00AF4B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ВИЧ-инфицированным детям.</w:t>
      </w:r>
    </w:p>
    <w:p w:rsidR="0067662B" w:rsidRPr="00AF4B79" w:rsidRDefault="0067662B" w:rsidP="00AF4B7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раннего выявления туберкулеза у подростков проводятся:</w:t>
      </w:r>
    </w:p>
    <w:p w:rsidR="0067662B" w:rsidRPr="00AF4B79" w:rsidRDefault="0067662B" w:rsidP="00AF4B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плановая ежегодная </w:t>
      </w:r>
      <w:proofErr w:type="spell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туберкулинодиагностика</w:t>
      </w:r>
      <w:proofErr w:type="spell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62B" w:rsidRPr="00AF4B79" w:rsidRDefault="0067662B" w:rsidP="00AF4B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(флюорографические) осмотры.</w:t>
      </w:r>
    </w:p>
    <w:p w:rsidR="0067662B" w:rsidRPr="00AF4B79" w:rsidRDefault="0067662B" w:rsidP="00AF4B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медицинские осмотры с целью раннего выявления туберкулеза среди взрослых проводятся не реже 1 раза в 2 года.</w:t>
      </w:r>
    </w:p>
    <w:p w:rsidR="0067662B" w:rsidRPr="00AF4B79" w:rsidRDefault="0067662B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действенный метод профилактики туберкулёза – вакцинация на 3-7 день жизни ребенка.</w:t>
      </w:r>
      <w:r w:rsidR="006544E3"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Ревакцинация проводится в 6-7 лет при отрицательной пробе Манту.</w:t>
      </w:r>
    </w:p>
    <w:p w:rsidR="0067662B" w:rsidRPr="00AF4B79" w:rsidRDefault="0067662B" w:rsidP="00AF4B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 введения противотуберкулезной вакцины спустя 4-6 недель развивается специфическая реакция в виде папулы размером 5-10 мм в диаметре. Далее образуется рубчик до 10 мм в диаметре.</w:t>
      </w:r>
    </w:p>
    <w:p w:rsidR="00E61FCF" w:rsidRPr="00AF4B79" w:rsidRDefault="006544E3" w:rsidP="00AF4B7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AF4B79">
        <w:rPr>
          <w:b/>
        </w:rPr>
        <w:lastRenderedPageBreak/>
        <w:t xml:space="preserve">        5.</w:t>
      </w:r>
      <w:r w:rsidR="00E61FCF" w:rsidRPr="00AF4B79">
        <w:rPr>
          <w:b/>
        </w:rPr>
        <w:t xml:space="preserve"> Самая эффективная мера профилактики эпидемического паротит</w:t>
      </w:r>
      <w:proofErr w:type="gramStart"/>
      <w:r w:rsidR="00E61FCF" w:rsidRPr="00AF4B79">
        <w:rPr>
          <w:b/>
        </w:rPr>
        <w:t>а-</w:t>
      </w:r>
      <w:proofErr w:type="gramEnd"/>
      <w:r w:rsidR="00E61FCF" w:rsidRPr="00AF4B79">
        <w:rPr>
          <w:b/>
        </w:rPr>
        <w:t xml:space="preserve"> плановая вакцинация детей согласно </w:t>
      </w:r>
      <w:hyperlink r:id="rId25" w:history="1">
        <w:r w:rsidR="00E61FCF" w:rsidRPr="00AF4B79">
          <w:rPr>
            <w:rStyle w:val="a4"/>
            <w:b/>
            <w:color w:val="auto"/>
            <w:u w:val="none"/>
          </w:rPr>
          <w:t>Национальному календарю профилактических прививок</w:t>
        </w:r>
      </w:hyperlink>
      <w:r w:rsidR="00E61FCF" w:rsidRPr="00AF4B79">
        <w:rPr>
          <w:b/>
        </w:rPr>
        <w:t xml:space="preserve"> в возрасте 12 месяцев, ревакцинация - в 6 лет.</w:t>
      </w:r>
    </w:p>
    <w:p w:rsidR="00E61FCF" w:rsidRPr="00AF4B79" w:rsidRDefault="00E61FCF" w:rsidP="00AF4B7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61FCF" w:rsidRPr="00AF4B79" w:rsidRDefault="00E61FCF" w:rsidP="0072796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AF4B79">
        <w:rPr>
          <w:b/>
        </w:rPr>
        <w:t xml:space="preserve">        6. </w:t>
      </w:r>
      <w:r w:rsidRPr="00AF4B79">
        <w:rPr>
          <w:rStyle w:val="a5"/>
          <w:color w:val="212529"/>
        </w:rPr>
        <w:t>Можно ли привиться от ветряной оспы? </w:t>
      </w:r>
      <w:r w:rsidRPr="00AF4B79">
        <w:rPr>
          <w:color w:val="212529"/>
        </w:rPr>
        <w:t>Вакцинация от ветряной оспы проводится в рамках регионального календаря профилактических прививок. Детей прививают с 12 месяцев перед поступлением в детские дошкольные учреждения и перед отъездом в летние оздоровительные учреждения. Среди взрослых вакцинация обязательна для лиц, подлежащих призыву на военную службу. Взрослым перед вакцинацией лучше сдать анализ на антитела, чтобы удостовериться, что инфекция не была перенесена в детстве.</w:t>
      </w:r>
    </w:p>
    <w:p w:rsidR="00E61FCF" w:rsidRPr="00AF4B79" w:rsidRDefault="00E61FCF" w:rsidP="00AF4B79">
      <w:pPr>
        <w:pStyle w:val="a3"/>
        <w:shd w:val="clear" w:color="auto" w:fill="FFFFFF"/>
        <w:spacing w:before="0" w:beforeAutospacing="0" w:after="0" w:afterAutospacing="0"/>
        <w:jc w:val="both"/>
      </w:pPr>
      <w:r w:rsidRPr="00AF4B79">
        <w:t xml:space="preserve">          </w:t>
      </w:r>
      <w:r w:rsidRPr="00AF4B79">
        <w:rPr>
          <w:b/>
        </w:rPr>
        <w:t>7. В России вакцинация против менингококковой инфекции проводится в соответствии </w:t>
      </w:r>
      <w:hyperlink r:id="rId26" w:history="1">
        <w:r w:rsidRPr="00AF4B79">
          <w:rPr>
            <w:rStyle w:val="a4"/>
            <w:b/>
            <w:color w:val="auto"/>
            <w:u w:val="none"/>
          </w:rPr>
          <w:t>с календарем профилактических прививок по эпидемическим показаниям</w:t>
        </w:r>
      </w:hyperlink>
      <w:r w:rsidRPr="00AF4B79">
        <w:rPr>
          <w:b/>
        </w:rPr>
        <w:t>:</w:t>
      </w:r>
      <w:r w:rsidRPr="00AF4B79">
        <w:t xml:space="preserve"> подлежат лица, находящиеся в группах риск</w:t>
      </w:r>
      <w:proofErr w:type="gramStart"/>
      <w:r w:rsidRPr="00AF4B79">
        <w:t>а-</w:t>
      </w:r>
      <w:proofErr w:type="gramEnd"/>
      <w:r w:rsidRPr="00AF4B79">
        <w:t xml:space="preserve"> дети и взрослые в очагах менингококковой инфекции, </w:t>
      </w:r>
      <w:r w:rsidR="009D7C0E" w:rsidRPr="00AF4B79">
        <w:t xml:space="preserve">контактные лица в очаге менингококковой инфекции, </w:t>
      </w:r>
      <w:r w:rsidRPr="00AF4B79">
        <w:t xml:space="preserve">а также призывники. Вакцинация проводится в </w:t>
      </w:r>
      <w:proofErr w:type="spellStart"/>
      <w:r w:rsidRPr="00AF4B79">
        <w:t>эндемичных</w:t>
      </w:r>
      <w:proofErr w:type="spellEnd"/>
      <w:r w:rsidRPr="00AF4B79">
        <w:t xml:space="preserve"> регионах</w:t>
      </w:r>
      <w:r w:rsidR="009D7C0E" w:rsidRPr="00AF4B79">
        <w:t xml:space="preserve">. </w:t>
      </w:r>
    </w:p>
    <w:p w:rsidR="009D7C0E" w:rsidRPr="00AF4B79" w:rsidRDefault="009D7C0E" w:rsidP="00AF4B79">
      <w:pPr>
        <w:pStyle w:val="a3"/>
        <w:shd w:val="clear" w:color="auto" w:fill="FFFFFF"/>
        <w:spacing w:before="0" w:beforeAutospacing="0" w:after="0" w:afterAutospacing="0"/>
        <w:jc w:val="both"/>
      </w:pPr>
    </w:p>
    <w:p w:rsidR="009D7C0E" w:rsidRPr="00AF4B79" w:rsidRDefault="009D7C0E" w:rsidP="00AF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F4B79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AF4B7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Клещевой энцефалит - можно и нужно привиться.</w:t>
      </w:r>
    </w:p>
    <w:p w:rsidR="009D7C0E" w:rsidRPr="00AF4B79" w:rsidRDefault="009D7C0E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Вакцинация от клещевого энцефалита процесс не быстрый: на полный курс потребуется полтора месяца. Поэтому готовиться к новому сезону надо заранее: конец февраля - начало марта - оптимальное время для начала вакцинации. В соответствии с Национальным календарем профилактических прививок, календаря профилактических прививок по эпидемическим показаниям вакцинации подлежат следующие лица:</w:t>
      </w:r>
    </w:p>
    <w:p w:rsidR="009D7C0E" w:rsidRPr="00AF4B79" w:rsidRDefault="009D7C0E" w:rsidP="00AF4B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проживающие</w:t>
      </w:r>
      <w:proofErr w:type="gram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эндемичных</w:t>
      </w:r>
      <w:proofErr w:type="spell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клещевому вирусному энцефалиту территориях;</w:t>
      </w:r>
    </w:p>
    <w:p w:rsidR="009D7C0E" w:rsidRPr="00AF4B79" w:rsidRDefault="009D7C0E" w:rsidP="00AF4B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выезжающие на </w:t>
      </w:r>
      <w:proofErr w:type="spell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эндемичные</w:t>
      </w:r>
      <w:proofErr w:type="spell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клещевому вирусному энцефалиту территории;</w:t>
      </w:r>
    </w:p>
    <w:p w:rsidR="009D7C0E" w:rsidRPr="00AF4B79" w:rsidRDefault="009D7C0E" w:rsidP="00AF4B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прибывшие на эти территории лица, выполняющие работы, связанные с высоким риском контакта с клещами (лесозаготовка, сельскохозяйственные и гидромелиоративные работы, экспедиции, расчистка и благоустройство леса, ряд других);</w:t>
      </w:r>
    </w:p>
    <w:p w:rsidR="009D7C0E" w:rsidRPr="00AF4B79" w:rsidRDefault="009D7C0E" w:rsidP="00AF4B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работающие</w:t>
      </w:r>
      <w:proofErr w:type="gram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живыми культурами возбудителя клещевого энцефалита.</w:t>
      </w:r>
    </w:p>
    <w:p w:rsidR="009D7C0E" w:rsidRPr="00AF4B79" w:rsidRDefault="009D7C0E" w:rsidP="00AF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перечнем территорий, </w:t>
      </w:r>
      <w:proofErr w:type="spell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эндемичных</w:t>
      </w:r>
      <w:proofErr w:type="spell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клещевому вирусному энцефалиту, можно ознакомиться на сайте </w:t>
      </w:r>
      <w:proofErr w:type="spellStart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"https://www.rospotrebnadzor.ru/" </w:instrText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F4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C0E" w:rsidRPr="00AF4B79" w:rsidRDefault="009D7C0E" w:rsidP="00AF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Вакцинация проводится круглогодично бесплатно в медицинских организациях по месту прикрепления; проводится двукратно, минимальный интервал между первой и второй прививками – 1 месяц. </w:t>
      </w:r>
    </w:p>
    <w:p w:rsidR="009D7C0E" w:rsidRPr="00AF4B79" w:rsidRDefault="009D7C0E" w:rsidP="00AF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B7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Важно! Для выработки иммунитета после вакцинации требуется не менее двух недель, поэтому завершить прививочный курс (две прививки) необходимо не позднее, чем за 2 недели до выезда в неблагополучную территорию. </w:t>
      </w:r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поддержания </w:t>
      </w:r>
      <w:proofErr w:type="spellStart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противоэнцефалитного</w:t>
      </w:r>
      <w:proofErr w:type="spellEnd"/>
      <w:r w:rsidRPr="00AF4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иммунитета, важно через год сделать ревакцинацию, далее последующие ревакцинации проводятся каждые 3 года.</w:t>
      </w:r>
    </w:p>
    <w:p w:rsidR="00AF4B79" w:rsidRPr="00AF4B79" w:rsidRDefault="00AF4B79" w:rsidP="00AF4B79">
      <w:pPr>
        <w:pStyle w:val="a3"/>
        <w:shd w:val="clear" w:color="auto" w:fill="FFFFFF"/>
        <w:spacing w:before="120" w:beforeAutospacing="0" w:after="120" w:afterAutospacing="0"/>
        <w:jc w:val="center"/>
      </w:pPr>
      <w:r w:rsidRPr="00AF4B79">
        <w:t xml:space="preserve">Помните: своевременная вакцинация поможет сохранить здоровье, </w:t>
      </w:r>
    </w:p>
    <w:p w:rsidR="00AF4B79" w:rsidRPr="00AF4B79" w:rsidRDefault="00AF4B79" w:rsidP="00AF4B79">
      <w:pPr>
        <w:pStyle w:val="a3"/>
        <w:shd w:val="clear" w:color="auto" w:fill="FFFFFF"/>
        <w:spacing w:before="120" w:beforeAutospacing="0" w:after="120" w:afterAutospacing="0"/>
        <w:jc w:val="center"/>
      </w:pPr>
      <w:r w:rsidRPr="00AF4B79">
        <w:t>полноценную и долгую жизнь для всех!  Будьте здоровы!</w:t>
      </w:r>
    </w:p>
    <w:p w:rsidR="006544E3" w:rsidRPr="00AF4B79" w:rsidRDefault="006544E3" w:rsidP="00AF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2B" w:rsidRPr="00AF4B79" w:rsidRDefault="0067662B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62B" w:rsidRPr="00AF4B79" w:rsidRDefault="0067662B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0E" w:rsidRPr="00AF4B79" w:rsidRDefault="009D7C0E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hAnsi="Times New Roman" w:cs="Times New Roman"/>
          <w:sz w:val="24"/>
          <w:szCs w:val="24"/>
        </w:rPr>
        <w:t xml:space="preserve">Врач по общей гигиене  </w:t>
      </w:r>
    </w:p>
    <w:p w:rsidR="009D7C0E" w:rsidRPr="00AF4B79" w:rsidRDefault="009D7C0E" w:rsidP="00AF4B79">
      <w:pPr>
        <w:spacing w:after="0" w:line="240" w:lineRule="auto"/>
        <w:ind w:left="-108"/>
        <w:rPr>
          <w:rFonts w:ascii="Times New Roman" w:hAnsi="Times New Roman" w:cs="Times New Roman"/>
          <w:sz w:val="24"/>
          <w:szCs w:val="24"/>
        </w:rPr>
      </w:pPr>
      <w:r w:rsidRPr="00AF4B79">
        <w:rPr>
          <w:rFonts w:ascii="Times New Roman" w:hAnsi="Times New Roman" w:cs="Times New Roman"/>
          <w:sz w:val="24"/>
          <w:szCs w:val="24"/>
        </w:rPr>
        <w:t xml:space="preserve">  </w:t>
      </w:r>
      <w:r w:rsidRPr="00AF4B79">
        <w:rPr>
          <w:rFonts w:ascii="Times New Roman" w:hAnsi="Times New Roman" w:cs="Times New Roman"/>
          <w:sz w:val="24"/>
          <w:szCs w:val="24"/>
          <w:lang w:val="tt-RU"/>
        </w:rPr>
        <w:t xml:space="preserve">Зеленодольского </w:t>
      </w:r>
      <w:r w:rsidRPr="00AF4B79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</w:t>
      </w:r>
    </w:p>
    <w:p w:rsidR="009D7C0E" w:rsidRPr="00AF4B79" w:rsidRDefault="009D7C0E" w:rsidP="00AF4B79">
      <w:pPr>
        <w:spacing w:after="0" w:line="240" w:lineRule="auto"/>
        <w:ind w:left="-108"/>
        <w:rPr>
          <w:rFonts w:ascii="Times New Roman" w:hAnsi="Times New Roman" w:cs="Times New Roman"/>
          <w:sz w:val="28"/>
          <w:szCs w:val="28"/>
        </w:rPr>
      </w:pPr>
      <w:r w:rsidRPr="00AF4B79">
        <w:rPr>
          <w:rFonts w:ascii="Times New Roman" w:hAnsi="Times New Roman" w:cs="Times New Roman"/>
          <w:sz w:val="24"/>
          <w:szCs w:val="24"/>
        </w:rPr>
        <w:t xml:space="preserve">  в Республике Татарстан (Татарстан)»          Н.А. Александрович</w:t>
      </w:r>
    </w:p>
    <w:p w:rsidR="009D7C0E" w:rsidRPr="00AF4B79" w:rsidRDefault="009D7C0E" w:rsidP="00AF4B7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222222"/>
          <w:spacing w:val="2"/>
        </w:rPr>
      </w:pPr>
    </w:p>
    <w:p w:rsidR="003D3889" w:rsidRPr="00AF4B79" w:rsidRDefault="003D3889" w:rsidP="00AF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889" w:rsidRPr="00AF4B79" w:rsidSect="00180AE4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3AB"/>
    <w:multiLevelType w:val="multilevel"/>
    <w:tmpl w:val="559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B52AC"/>
    <w:multiLevelType w:val="multilevel"/>
    <w:tmpl w:val="C93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91E37"/>
    <w:multiLevelType w:val="multilevel"/>
    <w:tmpl w:val="AEA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456A9"/>
    <w:multiLevelType w:val="multilevel"/>
    <w:tmpl w:val="D3A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47594"/>
    <w:multiLevelType w:val="hybridMultilevel"/>
    <w:tmpl w:val="DF18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2345"/>
    <w:multiLevelType w:val="multilevel"/>
    <w:tmpl w:val="990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76086"/>
    <w:multiLevelType w:val="multilevel"/>
    <w:tmpl w:val="A1F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7662B"/>
    <w:rsid w:val="00041F6E"/>
    <w:rsid w:val="00122B89"/>
    <w:rsid w:val="00180AE4"/>
    <w:rsid w:val="003D1027"/>
    <w:rsid w:val="003D3889"/>
    <w:rsid w:val="00400290"/>
    <w:rsid w:val="005D628D"/>
    <w:rsid w:val="00610550"/>
    <w:rsid w:val="006544E3"/>
    <w:rsid w:val="0067662B"/>
    <w:rsid w:val="006A4E89"/>
    <w:rsid w:val="006D509A"/>
    <w:rsid w:val="0072796E"/>
    <w:rsid w:val="00786FC5"/>
    <w:rsid w:val="009D7C0E"/>
    <w:rsid w:val="00A06D19"/>
    <w:rsid w:val="00AF4B79"/>
    <w:rsid w:val="00B028EC"/>
    <w:rsid w:val="00C74CE5"/>
    <w:rsid w:val="00E61FCF"/>
    <w:rsid w:val="00E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62B"/>
    <w:rPr>
      <w:color w:val="0000FF"/>
      <w:u w:val="single"/>
    </w:rPr>
  </w:style>
  <w:style w:type="character" w:styleId="a5">
    <w:name w:val="Strong"/>
    <w:basedOn w:val="a0"/>
    <w:uiPriority w:val="22"/>
    <w:qFormat/>
    <w:rsid w:val="0067662B"/>
    <w:rPr>
      <w:b/>
      <w:bCs/>
    </w:rPr>
  </w:style>
  <w:style w:type="character" w:styleId="a6">
    <w:name w:val="Emphasis"/>
    <w:basedOn w:val="a0"/>
    <w:uiPriority w:val="20"/>
    <w:qFormat/>
    <w:rsid w:val="0067662B"/>
    <w:rPr>
      <w:i/>
      <w:iCs/>
    </w:rPr>
  </w:style>
  <w:style w:type="character" w:customStyle="1" w:styleId="ts-comment-commentedtext">
    <w:name w:val="ts-comment-commentedtext"/>
    <w:basedOn w:val="a0"/>
    <w:rsid w:val="00786FC5"/>
  </w:style>
  <w:style w:type="character" w:customStyle="1" w:styleId="noprint">
    <w:name w:val="noprint"/>
    <w:basedOn w:val="a0"/>
    <w:rsid w:val="00786FC5"/>
  </w:style>
  <w:style w:type="paragraph" w:styleId="a7">
    <w:name w:val="No Spacing"/>
    <w:uiPriority w:val="1"/>
    <w:qFormat/>
    <w:rsid w:val="006A4E8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5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77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30831792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2126652510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176268324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208807042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  <w:div w:id="619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9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76411038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  <w:div w:id="1600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893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78905504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540633254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  <w:div w:id="1602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97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2114206817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799492583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228076063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571845374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359693801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  <w:div w:id="1847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65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634869226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  <w:div w:id="1857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049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1376732492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516308800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  <w:div w:id="61372681">
          <w:blockQuote w:val="1"/>
          <w:marLeft w:val="0"/>
          <w:marRight w:val="720"/>
          <w:marTop w:val="240"/>
          <w:marBottom w:val="240"/>
          <w:divBdr>
            <w:top w:val="none" w:sz="0" w:space="0" w:color="auto"/>
            <w:left w:val="single" w:sz="12" w:space="3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3" Type="http://schemas.openxmlformats.org/officeDocument/2006/relationships/hyperlink" Target="https://ru.wikipedia.org/w/index.php?title=%D0%A1%D0%B5%D1%80%D0%BE%D0%BF%D1%80%D0%BE%D1%84%D0%B8%D0%BB%D0%B0%D0%BA%D1%82%D0%B8%D0%BA%D0%B0&amp;action=edit&amp;redlink=1" TargetMode="External"/><Relationship Id="rId18" Type="http://schemas.openxmlformats.org/officeDocument/2006/relationships/hyperlink" Target="http://publication.pravo.gov.ru/Document/View/0001202112200070?index=2&amp;rangeSize=1" TargetMode="External"/><Relationship Id="rId26" Type="http://schemas.openxmlformats.org/officeDocument/2006/relationships/hyperlink" Target="http://publication.pravo.gov.ru/Document/View/0001202112200070?index=6&amp;rangeSize=1" TargetMode="Externa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2112200070?index=6&amp;rangeSize=1" TargetMode="External"/><Relationship Id="rId7" Type="http://schemas.openxmlformats.org/officeDocument/2006/relationships/hyperlink" Target="https://ru.wikipedia.org/wiki/%D0%98%D0%BC%D0%BC%D1%83%D0%BD%D0%B8%D1%82%D0%B5%D1%82" TargetMode="External"/><Relationship Id="rId12" Type="http://schemas.openxmlformats.org/officeDocument/2006/relationships/hyperlink" Target="https://ru.wikipedia.org/wiki/%D0%90%D0%BD%D1%82%D0%B8%D0%B3%D0%B5%D0%BD" TargetMode="External"/><Relationship Id="rId17" Type="http://schemas.openxmlformats.org/officeDocument/2006/relationships/hyperlink" Target="http://publication.pravo.gov.ru/Document/View/0001202112200070?index=6&amp;rangeSize=1" TargetMode="External"/><Relationship Id="rId25" Type="http://schemas.openxmlformats.org/officeDocument/2006/relationships/hyperlink" Target="http://publication.pravo.gov.ru/Document/View/0001202112200070?index=2&amp;rangeSiz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112200070?index=2&amp;rangeSize=1" TargetMode="External"/><Relationship Id="rId20" Type="http://schemas.openxmlformats.org/officeDocument/2006/relationships/hyperlink" Target="https://pubmed.ncbi.nlm.nih.gov/3248236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11" Type="http://schemas.openxmlformats.org/officeDocument/2006/relationships/hyperlink" Target="https://ru.wikipedia.org/wiki/%D0%92%D0%B0%D0%BA%D1%86%D0%B8%D0%BD%D0%BE%D0%BF%D1%80%D0%BE%D1%84%D0%B8%D0%BB%D0%B0%D0%BA%D1%82%D0%B8%D0%BA%D0%B0" TargetMode="External"/><Relationship Id="rId24" Type="http://schemas.openxmlformats.org/officeDocument/2006/relationships/hyperlink" Target="https://www.rospotrebnadzor.ru/documents/details.php?ELEMENT_ID=182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2%D0%BE%D0%BB%D0%B1%D0%BD%D1%8F%D0%BA" TargetMode="External"/><Relationship Id="rId23" Type="http://schemas.openxmlformats.org/officeDocument/2006/relationships/hyperlink" Target="https://www.who.int/news/item/10-11-2021-global-progress-against-measles-threatened-amidst-covid-19-pandem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F%D1%80%D0%BE%D1%84%D0%B8%D0%BB%D0%B0%D0%BA%D1%82%D0%B8%D1%87%D0%B5%D1%81%D0%BA%D0%B0%D1%8F_%D0%BC%D0%B5%D0%B4%D0%B8%D1%86%D0%B8%D0%BD%D0%B0" TargetMode="External"/><Relationship Id="rId19" Type="http://schemas.openxmlformats.org/officeDocument/2006/relationships/hyperlink" Target="https://rosreestr.gov.ru/upload/Doc/09-upr/%D0%9C%D0%B5%D1%82%D0%BE%D0%B4_%D1%80%D0%B5%D0%BA%D0%BE%D0%BC_%D0%9C%D0%B8%D0%BD%D0%B7%D0%B4%D1%80%D0%B0%D0%B2%D0%B0%20%D0%BE%D1%82%2029.06.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0%D0%BA%D1%86%D0%B8%D0%BD%D0%B0%D1%86%D0%B8%D1%8F" TargetMode="External"/><Relationship Id="rId14" Type="http://schemas.openxmlformats.org/officeDocument/2006/relationships/hyperlink" Target="https://ru.wikipedia.org/wiki/%D0%90%D0%BD%D1%82%D0%B8%D1%82%D0%B5%D0%BB%D0%BE" TargetMode="External"/><Relationship Id="rId22" Type="http://schemas.openxmlformats.org/officeDocument/2006/relationships/hyperlink" Target="http://publication.pravo.gov.ru/Document/View/0001202112200070?index=2&amp;rangeSize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2E2EA-07F9-4B07-9E5D-F39CF637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2022-04-20T10:53:00Z</dcterms:created>
  <dcterms:modified xsi:type="dcterms:W3CDTF">2022-04-20T11:46:00Z</dcterms:modified>
</cp:coreProperties>
</file>